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41A5F798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naručioca: </w:t>
            </w:r>
            <w:r w:rsidR="00A31E53" w:rsidRPr="009461B5">
              <w:rPr>
                <w:lang w:eastAsia="sr-Latn-CS"/>
              </w:rPr>
              <w:t xml:space="preserve"> O</w:t>
            </w:r>
            <w:r w:rsidR="00A31E53">
              <w:rPr>
                <w:lang w:eastAsia="sr-Latn-CS"/>
              </w:rPr>
              <w:t>tvoreni</w:t>
            </w:r>
            <w:r w:rsidR="00A31E53" w:rsidRPr="009461B5">
              <w:rPr>
                <w:lang w:eastAsia="sr-Latn-CS"/>
              </w:rPr>
              <w:t xml:space="preserve"> univer</w:t>
            </w:r>
            <w:r w:rsidR="00A31E53">
              <w:rPr>
                <w:lang w:eastAsia="sr-Latn-CS"/>
              </w:rPr>
              <w:t>zitet Subotica Doo, Trg cara Jovana Nenada</w:t>
            </w:r>
            <w:r w:rsidR="00A31E53" w:rsidRPr="009461B5">
              <w:rPr>
                <w:lang w:eastAsia="sr-Latn-CS"/>
              </w:rPr>
              <w:t xml:space="preserve"> 15, 24000 Subotica</w:t>
            </w:r>
          </w:p>
          <w:p w14:paraId="5A9E653A" w14:textId="29C1F614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A31E53" w:rsidRPr="009461B5">
              <w:rPr>
                <w:lang w:eastAsia="sr-Latn-CS"/>
              </w:rPr>
              <w:t xml:space="preserve"> </w:t>
            </w:r>
            <w:r w:rsidR="00EF54AF">
              <w:rPr>
                <w:lang w:eastAsia="sr-Latn-CS"/>
              </w:rPr>
              <w:t xml:space="preserve">Organizacija promocije mađarske kinematografije i sastanka filmskih festivala </w:t>
            </w:r>
            <w:r w:rsidR="00A31E53">
              <w:rPr>
                <w:lang w:eastAsia="sr-Latn-CS"/>
              </w:rPr>
              <w:t>u okviru projekta FILMYing</w:t>
            </w:r>
          </w:p>
          <w:p w14:paraId="099E4E7F" w14:textId="3953BE6F"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A31E53" w:rsidRPr="00BE200D">
              <w:rPr>
                <w:lang w:eastAsia="sr-Latn-CS"/>
              </w:rPr>
              <w:t xml:space="preserve"> HUSRB/1903/33/0102</w:t>
            </w:r>
            <w:r w:rsidR="00EF54AF">
              <w:rPr>
                <w:lang w:eastAsia="sr-Latn-CS"/>
              </w:rPr>
              <w:t xml:space="preserve"> – TD5</w:t>
            </w:r>
          </w:p>
          <w:p w14:paraId="19360B3F" w14:textId="56610C1C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EF54AF">
              <w:rPr>
                <w:bCs/>
                <w:lang w:val="en-GB"/>
              </w:rPr>
              <w:t>13/05</w:t>
            </w:r>
            <w:r w:rsidR="00A31E53" w:rsidRPr="002151DC">
              <w:rPr>
                <w:bCs/>
                <w:lang w:val="en-GB"/>
              </w:rPr>
              <w:t>/20</w:t>
            </w:r>
            <w:r w:rsidR="00EF54AF">
              <w:rPr>
                <w:bCs/>
                <w:lang w:val="en-GB"/>
              </w:rPr>
              <w:t>22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06DB2CEC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221D87B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14:paraId="61EB6D3C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A9222" w14:textId="43D69690" w:rsidR="00056F91" w:rsidRPr="00F16731" w:rsidRDefault="00EF54AF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lang w:eastAsia="sr-Latn-CS"/>
        </w:rPr>
        <w:t>Organizacija promocije mađarske kinematografije i sastanka filmskih festivala u okviru projekta FILMYing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66508152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EF54AF">
        <w:rPr>
          <w:b/>
          <w:bCs/>
          <w:lang w:val="en-GB"/>
        </w:rPr>
        <w:t>23/05/2022 u 14</w:t>
      </w:r>
      <w:r w:rsidR="00A31E53" w:rsidRPr="00192CCB">
        <w:rPr>
          <w:b/>
          <w:bCs/>
          <w:lang w:val="en-GB"/>
        </w:rPr>
        <w:t>:00</w:t>
      </w:r>
      <w:r w:rsidR="00A31E53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A31E53" w:rsidRPr="00192CCB">
        <w:rPr>
          <w:b/>
        </w:rPr>
        <w:t>časova</w:t>
      </w:r>
      <w:r w:rsidR="00A31E53" w:rsidRPr="00A31E53">
        <w:rPr>
          <w:rStyle w:val="FootnoteReference"/>
          <w:rFonts w:ascii="Open Sans" w:hAnsi="Open Sans"/>
          <w:sz w:val="20"/>
        </w:rPr>
        <w:t xml:space="preserve"> </w:t>
      </w:r>
      <w:r w:rsidR="00056F91" w:rsidRPr="00A31E53">
        <w:rPr>
          <w:rStyle w:val="FootnoteReference"/>
          <w:rFonts w:ascii="Open Sans" w:hAnsi="Open Sans"/>
          <w:sz w:val="20"/>
        </w:rPr>
        <w:footnoteReference w:id="1"/>
      </w:r>
      <w:r w:rsidR="00056F91">
        <w:rPr>
          <w:rFonts w:ascii="Open Sans" w:hAnsi="Open Sans"/>
          <w:sz w:val="20"/>
        </w:rPr>
        <w:t xml:space="preserve"> </w:t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680C602D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DD29483" w14:textId="7A39A73A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3298B53C" w14:textId="4FE2C43D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EF54AF">
        <w:rPr>
          <w:lang w:eastAsia="sr-Latn-CS"/>
        </w:rPr>
        <w:t>Organizacija promocije mađarske kinematografije i sastanka filmskih festivala u okviru projekta FILMYing</w:t>
      </w:r>
    </w:p>
    <w:p w14:paraId="276D812F" w14:textId="654FDD21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A31E53" w:rsidRPr="00BE200D">
        <w:rPr>
          <w:lang w:eastAsia="sr-Latn-CS"/>
        </w:rPr>
        <w:t>HUSRB/1903/33/0102</w:t>
      </w:r>
      <w:r w:rsidR="00EF54AF">
        <w:rPr>
          <w:lang w:eastAsia="sr-Latn-CS"/>
        </w:rPr>
        <w:t xml:space="preserve"> – TD5</w:t>
      </w:r>
    </w:p>
    <w:p w14:paraId="2F01BF5E" w14:textId="58C9F86C"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14:paraId="71174413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4D05B65B" w14:textId="77777777" w:rsidR="00A31E53" w:rsidRDefault="00A31E53" w:rsidP="00AE2357">
      <w:pPr>
        <w:spacing w:after="0"/>
        <w:ind w:left="720"/>
        <w:jc w:val="both"/>
        <w:rPr>
          <w:lang w:eastAsia="sr-Latn-CS"/>
        </w:rPr>
      </w:pPr>
    </w:p>
    <w:p w14:paraId="76AF0A0F" w14:textId="7F21C168" w:rsidR="00056F91" w:rsidRPr="00F16731" w:rsidRDefault="00A31E53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41A064E0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0"/>
        <w:gridCol w:w="1903"/>
        <w:gridCol w:w="2993"/>
      </w:tblGrid>
      <w:tr w:rsidR="00D8637B" w14:paraId="5F1FE866" w14:textId="77777777" w:rsidTr="000C3726">
        <w:tc>
          <w:tcPr>
            <w:tcW w:w="9242" w:type="dxa"/>
            <w:gridSpan w:val="3"/>
          </w:tcPr>
          <w:p w14:paraId="2490B942" w14:textId="2AA7B237" w:rsidR="00D8637B" w:rsidRPr="00D8637B" w:rsidRDefault="00D8637B" w:rsidP="00A31E5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5678">
              <w:rPr>
                <w:rFonts w:ascii="Open Sans" w:hAnsi="Open Sans"/>
                <w:sz w:val="20"/>
              </w:rPr>
              <w:t xml:space="preserve">Naziv aktivnosti 1 </w:t>
            </w:r>
            <w:r w:rsidR="00230170">
              <w:rPr>
                <w:lang w:eastAsia="sr-Latn-CS"/>
              </w:rPr>
              <w:t>Organizacija promocije mađarske kinematografije</w:t>
            </w:r>
            <w:r w:rsidR="00230170">
              <w:rPr>
                <w:lang w:eastAsia="sr-Latn-CS"/>
              </w:rPr>
              <w:t xml:space="preserve"> u 4 grada u Vojvodini</w:t>
            </w:r>
          </w:p>
        </w:tc>
      </w:tr>
      <w:tr w:rsidR="00D8637B" w14:paraId="6566B21C" w14:textId="77777777" w:rsidTr="00D8637B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14:paraId="3BDBE356" w14:textId="77777777" w:rsidTr="00D8637B">
        <w:tc>
          <w:tcPr>
            <w:tcW w:w="4219" w:type="dxa"/>
            <w:vAlign w:val="center"/>
          </w:tcPr>
          <w:p w14:paraId="7849CFB1" w14:textId="77777777" w:rsidR="003F36AA" w:rsidRDefault="00145131" w:rsidP="00230170">
            <w:pPr>
              <w:spacing w:after="0"/>
              <w:jc w:val="both"/>
            </w:pPr>
            <w:r>
              <w:rPr>
                <w:lang w:eastAsia="sr-Latn-CS"/>
              </w:rPr>
              <w:t>Organizacija promocije mađarske kinematografije</w:t>
            </w:r>
            <w:r>
              <w:t xml:space="preserve"> u srpskom delu prekograničnog regiona – AP Vojvodini podrazumeva prikazivanje selekcije sastavljene od 3 filma iz moderna mađarske kinematografije</w:t>
            </w:r>
            <w:r w:rsidR="00230170">
              <w:t xml:space="preserve"> u 4</w:t>
            </w:r>
            <w:r>
              <w:t xml:space="preserve"> grada/opštine</w:t>
            </w:r>
            <w:r w:rsidR="00230170">
              <w:t xml:space="preserve"> sa značajnom </w:t>
            </w:r>
            <w:r>
              <w:t>populacijom mađarske nacionalne manjine</w:t>
            </w:r>
            <w:r w:rsidR="00230170">
              <w:t xml:space="preserve"> – Subotica, Kanjiža, Zrenjanin i Novi Sad. </w:t>
            </w:r>
          </w:p>
          <w:p w14:paraId="4DA5649B" w14:textId="6947AE66" w:rsidR="00230170" w:rsidRDefault="003F36AA" w:rsidP="00230170">
            <w:pPr>
              <w:spacing w:after="0"/>
              <w:jc w:val="both"/>
            </w:pPr>
            <w:r>
              <w:t>Ponuđač je u obavezi da konsultuje naručioca prilikom odabira filmova. U okviru organizacije filmskih projekc</w:t>
            </w:r>
            <w:r w:rsidR="002B73D9">
              <w:t>ija potrebno je zakupiti prava n</w:t>
            </w:r>
            <w:r>
              <w:t>a prikazivanje 3 filma</w:t>
            </w:r>
            <w:r w:rsidR="002B73D9">
              <w:t xml:space="preserve"> moderne mađarske kinematografije</w:t>
            </w:r>
            <w:r>
              <w:t xml:space="preserve"> u 4 grada te organizovati dolazak predstavnika filmova na svaku projekciju radi razgovora sa publikom nakon prikazivanja filma. Dolazak predstavnika filmova podrazumeva servisiranje njihovih putnih troškova i smeštaja za jednu noć za dva predstavnika svakog filma</w:t>
            </w:r>
            <w:r w:rsidR="002B73D9">
              <w:t xml:space="preserve"> na nsvakom prikazivanju</w:t>
            </w:r>
            <w:r>
              <w:t xml:space="preserve">. Pod predstavnicima filmova podrazumevaju se reditelji, pomoćnici reditelja, glumci, scenaristi i ostali učesnici u kreiranju filma.  </w:t>
            </w:r>
          </w:p>
          <w:p w14:paraId="2FCBC85F" w14:textId="5D963835" w:rsidR="006C05DA" w:rsidRPr="008B5678" w:rsidRDefault="002B73D9" w:rsidP="006C05DA">
            <w:pPr>
              <w:spacing w:after="0"/>
              <w:jc w:val="both"/>
            </w:pPr>
            <w:r>
              <w:t>Takođe, ponuđač će u saradnji sa naručiocem komunicirati sa partnerskim institucijama u 4 grada – bioskopi, kulturni centri, filmski klubovi i sl. U okviru ove koordinacije biće organizovana</w:t>
            </w:r>
            <w:r w:rsidR="00230170">
              <w:t xml:space="preserve"> promotivna/medijska kampanja za filmske događaje</w:t>
            </w:r>
            <w:r>
              <w:t xml:space="preserve"> kao i same filmske projekcije</w:t>
            </w:r>
            <w:r w:rsidR="00230170">
              <w:t>.</w:t>
            </w:r>
          </w:p>
        </w:tc>
        <w:tc>
          <w:tcPr>
            <w:tcW w:w="1942" w:type="dxa"/>
            <w:vAlign w:val="center"/>
          </w:tcPr>
          <w:p w14:paraId="37D2A314" w14:textId="120A5FBD" w:rsidR="00D8637B" w:rsidRPr="006C05DA" w:rsidRDefault="00230170" w:rsidP="00230170">
            <w:pPr>
              <w:spacing w:after="0"/>
              <w:rPr>
                <w:iCs/>
              </w:rPr>
            </w:pPr>
            <w:r>
              <w:t>4</w:t>
            </w:r>
            <w:r w:rsidR="006C05DA" w:rsidRPr="006C05DA">
              <w:t xml:space="preserve"> meseca </w:t>
            </w:r>
          </w:p>
        </w:tc>
        <w:tc>
          <w:tcPr>
            <w:tcW w:w="3081" w:type="dxa"/>
            <w:vAlign w:val="center"/>
          </w:tcPr>
          <w:p w14:paraId="26C70372" w14:textId="4EEE981C" w:rsidR="00D8637B" w:rsidRPr="006C05DA" w:rsidRDefault="006C05DA" w:rsidP="00230170">
            <w:pPr>
              <w:spacing w:after="0"/>
              <w:rPr>
                <w:iCs/>
              </w:rPr>
            </w:pPr>
            <w:r w:rsidRPr="006C05DA">
              <w:t xml:space="preserve">Prethodno iskustvo u </w:t>
            </w:r>
            <w:r w:rsidR="00230170">
              <w:t>organizaciji događaja</w:t>
            </w:r>
            <w:r w:rsidRPr="006C05DA">
              <w:t xml:space="preserve"> – minimum jedna ref</w:t>
            </w:r>
            <w:r>
              <w:t>e</w:t>
            </w:r>
            <w:r w:rsidRPr="006C05DA">
              <w:t>renca</w:t>
            </w:r>
          </w:p>
        </w:tc>
      </w:tr>
    </w:tbl>
    <w:p w14:paraId="7DAD398C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19052475" w14:textId="77777777" w:rsidTr="0031026A">
        <w:tc>
          <w:tcPr>
            <w:tcW w:w="9242" w:type="dxa"/>
            <w:gridSpan w:val="3"/>
          </w:tcPr>
          <w:p w14:paraId="7985B1DB" w14:textId="0CFD1427" w:rsidR="00D8637B" w:rsidRPr="008B5678" w:rsidRDefault="00D8637B" w:rsidP="008B567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6C05DA">
              <w:rPr>
                <w:rFonts w:ascii="Open Sans" w:hAnsi="Open Sans"/>
                <w:sz w:val="20"/>
              </w:rPr>
              <w:t>Naziv aktivnosti 2</w:t>
            </w:r>
            <w:r w:rsidR="008B5678" w:rsidRPr="006C05DA">
              <w:rPr>
                <w:rFonts w:ascii="Open Sans" w:hAnsi="Open Sans"/>
                <w:sz w:val="20"/>
              </w:rPr>
              <w:t xml:space="preserve"> </w:t>
            </w:r>
            <w:r w:rsidR="006C05DA">
              <w:rPr>
                <w:rFonts w:ascii="Open Sans" w:hAnsi="Open Sans"/>
                <w:sz w:val="20"/>
              </w:rPr>
              <w:t xml:space="preserve"> </w:t>
            </w:r>
            <w:r w:rsidR="002B73D9" w:rsidRPr="002B73D9">
              <w:t>Organizacija radnog sastanka predstavnika</w:t>
            </w:r>
            <w:r w:rsidR="002B73D9" w:rsidRPr="002B73D9">
              <w:rPr>
                <w:lang w:eastAsia="sr-Latn-CS"/>
              </w:rPr>
              <w:t xml:space="preserve"> filmskih festivala</w:t>
            </w:r>
            <w:r w:rsidR="002B73D9" w:rsidRPr="002B73D9">
              <w:rPr>
                <w:lang w:eastAsia="sr-Latn-CS"/>
              </w:rPr>
              <w:t xml:space="preserve"> iz prekograničnog regiona</w:t>
            </w:r>
          </w:p>
        </w:tc>
      </w:tr>
      <w:tr w:rsidR="00D8637B" w14:paraId="19D4E0E3" w14:textId="77777777" w:rsidTr="0031026A">
        <w:tc>
          <w:tcPr>
            <w:tcW w:w="4219" w:type="dxa"/>
            <w:vAlign w:val="center"/>
          </w:tcPr>
          <w:p w14:paraId="755466C1" w14:textId="395EE59C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1F6FA8A" w14:textId="77777777" w:rsidR="00D8637B" w:rsidRPr="00D8637B" w:rsidRDefault="00D8637B" w:rsidP="0031026A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3AF666DC" w14:textId="77777777" w:rsidR="00D8637B" w:rsidRPr="00D8637B" w:rsidRDefault="00D8637B" w:rsidP="00AE46D9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</w:t>
            </w:r>
            <w:r w:rsidR="00AE46D9">
              <w:rPr>
                <w:rFonts w:ascii="Open Sans" w:hAnsi="Open Sans"/>
                <w:sz w:val="20"/>
              </w:rPr>
              <w:t>ukoliko</w:t>
            </w:r>
            <w:r>
              <w:rPr>
                <w:rFonts w:ascii="Open Sans" w:hAnsi="Open Sans"/>
                <w:sz w:val="20"/>
              </w:rPr>
              <w:t xml:space="preserve"> je primenjivo)</w:t>
            </w:r>
          </w:p>
        </w:tc>
      </w:tr>
      <w:tr w:rsidR="002B73D9" w14:paraId="62731081" w14:textId="77777777" w:rsidTr="00D8637B">
        <w:tc>
          <w:tcPr>
            <w:tcW w:w="4219" w:type="dxa"/>
            <w:vAlign w:val="center"/>
          </w:tcPr>
          <w:p w14:paraId="7246C043" w14:textId="0CACF761" w:rsidR="002B73D9" w:rsidRDefault="00075CC6" w:rsidP="002B73D9">
            <w:pPr>
              <w:spacing w:after="0"/>
              <w:jc w:val="both"/>
            </w:pPr>
            <w:r>
              <w:t>U okviru 29. Festivala evropskog filma Palić biće organizovan drugi r</w:t>
            </w:r>
            <w:r w:rsidR="002B73D9">
              <w:t>adni sastanak</w:t>
            </w:r>
            <w:r>
              <w:t xml:space="preserve"> predstavnika filmskih festivala iz </w:t>
            </w:r>
            <w:r w:rsidR="002B73D9">
              <w:t xml:space="preserve"> </w:t>
            </w:r>
            <w:r>
              <w:t xml:space="preserve">prekograničnog regiona. Cilj organizacije </w:t>
            </w:r>
            <w:r>
              <w:lastRenderedPageBreak/>
              <w:t>sastanka je upoznavanje, razmena iskustva i ideja kao i</w:t>
            </w:r>
            <w:r w:rsidR="002B73D9">
              <w:t xml:space="preserve"> definisanje mogućnosti saradnje i prednosti </w:t>
            </w:r>
            <w:r>
              <w:t xml:space="preserve">koncepta </w:t>
            </w:r>
            <w:r w:rsidR="002B73D9">
              <w:t>mreža filmskih festivala.</w:t>
            </w:r>
          </w:p>
          <w:p w14:paraId="16C42B93" w14:textId="64615421" w:rsidR="002B73D9" w:rsidRPr="00F71D5F" w:rsidRDefault="002B73D9" w:rsidP="002B73D9">
            <w:pPr>
              <w:spacing w:after="0"/>
              <w:jc w:val="both"/>
            </w:pPr>
            <w:r>
              <w:t xml:space="preserve">Radni sastanak će trajati 3 dana, pored </w:t>
            </w:r>
            <w:r w:rsidR="00075CC6">
              <w:t>predstavnika naručioca - organizatora</w:t>
            </w:r>
            <w:r>
              <w:t xml:space="preserve"> Festivala evropskog filma Palić, </w:t>
            </w:r>
            <w:r w:rsidR="00075CC6">
              <w:t xml:space="preserve">sastanku će prisustvovati i predstavnici 9 filmskih festivala iz prekograničnog regiona. </w:t>
            </w:r>
            <w:r>
              <w:t xml:space="preserve">Moderatori </w:t>
            </w:r>
            <w:r w:rsidR="00075CC6">
              <w:t>sastanka će biti menadžeri Otvorenog univerziteta kao organizatori F</w:t>
            </w:r>
            <w:r>
              <w:t>estivala evropskog filma Palić</w:t>
            </w:r>
            <w:r w:rsidR="00075CC6">
              <w:t>,</w:t>
            </w:r>
            <w:r>
              <w:t xml:space="preserve"> zbog svoje stručnosti u ovoj oblasti. </w:t>
            </w:r>
            <w:r w:rsidR="00075CC6">
              <w:t xml:space="preserve">Ponuđač je u obavezi da organizuje smeštaj na Paliću za 18 osoba </w:t>
            </w:r>
            <w:r w:rsidR="00075CC6">
              <w:t>(2 noćenja</w:t>
            </w:r>
            <w:r w:rsidR="00075CC6">
              <w:t>, pun pansion</w:t>
            </w:r>
            <w:r w:rsidR="00075CC6">
              <w:t>)</w:t>
            </w:r>
            <w:r w:rsidR="00075CC6">
              <w:t xml:space="preserve"> i pokrije putne troškove svih učesnika sastanka iz Mađarske i Srbije.</w:t>
            </w:r>
            <w:bookmarkStart w:id="0" w:name="_GoBack"/>
            <w:bookmarkEnd w:id="0"/>
          </w:p>
        </w:tc>
        <w:tc>
          <w:tcPr>
            <w:tcW w:w="1942" w:type="dxa"/>
            <w:vAlign w:val="center"/>
          </w:tcPr>
          <w:p w14:paraId="7EC86856" w14:textId="400E1B30" w:rsidR="002B73D9" w:rsidRPr="00F71D5F" w:rsidRDefault="002B73D9" w:rsidP="002B73D9">
            <w:pPr>
              <w:spacing w:after="0"/>
              <w:rPr>
                <w:iCs/>
              </w:rPr>
            </w:pPr>
            <w:r>
              <w:lastRenderedPageBreak/>
              <w:t>2</w:t>
            </w:r>
            <w:r w:rsidRPr="006C05DA">
              <w:t xml:space="preserve"> meseca </w:t>
            </w:r>
          </w:p>
        </w:tc>
        <w:tc>
          <w:tcPr>
            <w:tcW w:w="3081" w:type="dxa"/>
            <w:vAlign w:val="center"/>
          </w:tcPr>
          <w:p w14:paraId="6957A573" w14:textId="388CC548" w:rsidR="002B73D9" w:rsidRPr="00D8637B" w:rsidRDefault="002B73D9" w:rsidP="002B73D9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C05DA">
              <w:t xml:space="preserve">Prethodno iskustvo u </w:t>
            </w:r>
            <w:r>
              <w:t>organizaciji događaja</w:t>
            </w:r>
            <w:r w:rsidRPr="006C05DA">
              <w:t xml:space="preserve"> – minimum jedna ref</w:t>
            </w:r>
            <w:r>
              <w:t>e</w:t>
            </w:r>
            <w:r w:rsidRPr="006C05DA">
              <w:t>renca</w:t>
            </w:r>
          </w:p>
        </w:tc>
      </w:tr>
    </w:tbl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4A8C09BF"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</w:t>
      </w:r>
      <w:r w:rsidR="00230170">
        <w:t>17.1</w:t>
      </w:r>
      <w:r w:rsidR="00F71D5F" w:rsidRPr="00F71D5F">
        <w:t>00,00 EUR</w:t>
      </w:r>
      <w:r w:rsidR="00AE46D9">
        <w:rPr>
          <w:rFonts w:ascii="Open Sans" w:hAnsi="Open Sans"/>
          <w:sz w:val="20"/>
        </w:rPr>
        <w:t>.</w:t>
      </w:r>
      <w:r>
        <w:rPr>
          <w:rStyle w:val="FootnoteReference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5B1CE6B0" w14:textId="77777777"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0F77E386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F71D5F">
        <w:rPr>
          <w:rFonts w:ascii="Open Sans" w:hAnsi="Open Sans"/>
          <w:sz w:val="20"/>
        </w:rPr>
        <w:t>ma je tri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49D803BB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="00F71D5F">
        <w:rPr>
          <w:rFonts w:ascii="Open Sans" w:hAnsi="Open Sans"/>
          <w:sz w:val="20"/>
        </w:rPr>
        <w:t xml:space="preserve">. </w:t>
      </w:r>
      <w:r w:rsidRPr="00AC7414">
        <w:rPr>
          <w:rFonts w:ascii="Open Sans" w:hAnsi="Open Sans"/>
          <w:sz w:val="20"/>
        </w:rPr>
        <w:t xml:space="preserve">Tehnička ponuda će nositi 80% </w:t>
      </w:r>
      <w:r w:rsidR="00910E8E">
        <w:rPr>
          <w:rFonts w:ascii="Open Sans" w:hAnsi="Open Sans"/>
          <w:sz w:val="20"/>
        </w:rPr>
        <w:t>poena</w:t>
      </w:r>
      <w:r w:rsidR="00F71D5F">
        <w:rPr>
          <w:rFonts w:ascii="Open Sans" w:hAnsi="Open Sans"/>
          <w:sz w:val="20"/>
        </w:rPr>
        <w:t xml:space="preserve">, a finansijska ponuda 20% </w:t>
      </w:r>
      <w:r w:rsidRPr="00AC7414">
        <w:rPr>
          <w:rFonts w:ascii="Open Sans" w:hAnsi="Open Sans"/>
          <w:sz w:val="20"/>
        </w:rPr>
        <w:t xml:space="preserve">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75A6686E" w14:textId="6A597FC8" w:rsidR="009C0B09" w:rsidRDefault="009C0B0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9C0B0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EBED8" w14:textId="77777777" w:rsidR="00FE2F72" w:rsidRDefault="00FE2F72" w:rsidP="002D4560">
      <w:pPr>
        <w:spacing w:after="0" w:line="240" w:lineRule="auto"/>
      </w:pPr>
      <w:r>
        <w:separator/>
      </w:r>
    </w:p>
  </w:endnote>
  <w:endnote w:type="continuationSeparator" w:id="0">
    <w:p w14:paraId="7627519A" w14:textId="77777777" w:rsidR="00FE2F72" w:rsidRDefault="00FE2F72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D06DC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8799D" w14:textId="47532DAE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75CC6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075CC6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7D9E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502C0" w14:textId="77777777" w:rsidR="00FE2F72" w:rsidRDefault="00FE2F72" w:rsidP="002D4560">
      <w:pPr>
        <w:spacing w:after="0" w:line="240" w:lineRule="auto"/>
      </w:pPr>
      <w:r>
        <w:separator/>
      </w:r>
    </w:p>
  </w:footnote>
  <w:footnote w:type="continuationSeparator" w:id="0">
    <w:p w14:paraId="7CBC3264" w14:textId="77777777" w:rsidR="00FE2F72" w:rsidRDefault="00FE2F72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FootnoteText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361C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3035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9B112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75CC6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03E9D"/>
    <w:rsid w:val="00142DE2"/>
    <w:rsid w:val="001432C6"/>
    <w:rsid w:val="00145131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0170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B73D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36AA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B57CF"/>
    <w:rsid w:val="005D797B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5DA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B5678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31E53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EF54AF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71D5F"/>
    <w:rsid w:val="00F85953"/>
    <w:rsid w:val="00F95D5C"/>
    <w:rsid w:val="00F97284"/>
    <w:rsid w:val="00FA07B2"/>
    <w:rsid w:val="00FA5940"/>
    <w:rsid w:val="00FA6347"/>
    <w:rsid w:val="00FA7287"/>
    <w:rsid w:val="00FB5BBF"/>
    <w:rsid w:val="00FD75F0"/>
    <w:rsid w:val="00FE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80F2B"/>
  <w15:docId w15:val="{25E5108C-E264-4490-86A6-32A7192E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B915-C86F-49D2-B153-F875C835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2</cp:revision>
  <cp:lastPrinted>2015-06-29T10:20:00Z</cp:lastPrinted>
  <dcterms:created xsi:type="dcterms:W3CDTF">2022-05-13T12:07:00Z</dcterms:created>
  <dcterms:modified xsi:type="dcterms:W3CDTF">2022-05-13T12:07:00Z</dcterms:modified>
</cp:coreProperties>
</file>